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40F3" w14:textId="77777777" w:rsidR="00D022B1" w:rsidRDefault="00D022B1" w:rsidP="00D022B1">
      <w:pPr>
        <w:jc w:val="both"/>
        <w:rPr>
          <w:sz w:val="26"/>
          <w:szCs w:val="28"/>
          <w:u w:val="single"/>
        </w:rPr>
      </w:pPr>
      <w:bookmarkStart w:id="0" w:name="_GoBack"/>
      <w:bookmarkEnd w:id="0"/>
      <w:r>
        <w:rPr>
          <w:sz w:val="26"/>
          <w:szCs w:val="28"/>
          <w:u w:val="single"/>
        </w:rPr>
        <w:t xml:space="preserve">MODALITA’ DI PARTECIPAZIONE ALLO </w:t>
      </w:r>
      <w:r>
        <w:rPr>
          <w:i/>
          <w:sz w:val="26"/>
          <w:szCs w:val="28"/>
          <w:u w:val="single"/>
        </w:rPr>
        <w:t>STAGE</w:t>
      </w:r>
      <w:r>
        <w:rPr>
          <w:sz w:val="26"/>
          <w:szCs w:val="28"/>
          <w:u w:val="single"/>
        </w:rPr>
        <w:t xml:space="preserve"> E OBBLIGHI DEL TIROCINANTE</w:t>
      </w:r>
    </w:p>
    <w:p w14:paraId="6B776924" w14:textId="77777777" w:rsidR="00D022B1" w:rsidRDefault="00D022B1" w:rsidP="00D022B1">
      <w:pPr>
        <w:jc w:val="both"/>
        <w:rPr>
          <w:sz w:val="26"/>
          <w:szCs w:val="28"/>
          <w:u w:val="single"/>
        </w:rPr>
      </w:pPr>
    </w:p>
    <w:p w14:paraId="5F097320" w14:textId="77777777" w:rsidR="00D022B1" w:rsidRDefault="00D022B1" w:rsidP="00D022B1">
      <w:pPr>
        <w:jc w:val="both"/>
        <w:rPr>
          <w:sz w:val="26"/>
          <w:szCs w:val="28"/>
          <w:u w:val="single"/>
        </w:rPr>
      </w:pPr>
    </w:p>
    <w:p w14:paraId="089285F1" w14:textId="77777777" w:rsidR="00D022B1" w:rsidRDefault="00D022B1" w:rsidP="00D022B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Il periodo di formazione teorico-pratico presso l’ufficio prescelto sarà della </w:t>
      </w:r>
      <w:r>
        <w:rPr>
          <w:b/>
          <w:sz w:val="26"/>
          <w:szCs w:val="28"/>
        </w:rPr>
        <w:t>durata complessiva di diciotto mesi</w:t>
      </w:r>
      <w:r>
        <w:rPr>
          <w:sz w:val="26"/>
          <w:szCs w:val="28"/>
        </w:rPr>
        <w:t>.</w:t>
      </w:r>
    </w:p>
    <w:p w14:paraId="782936EE" w14:textId="77777777" w:rsidR="00D022B1" w:rsidRDefault="00D022B1" w:rsidP="00D022B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Durante lo </w:t>
      </w:r>
      <w:r>
        <w:rPr>
          <w:i/>
          <w:sz w:val="26"/>
          <w:szCs w:val="28"/>
        </w:rPr>
        <w:t>stage</w:t>
      </w:r>
      <w:r>
        <w:rPr>
          <w:sz w:val="26"/>
          <w:szCs w:val="28"/>
        </w:rPr>
        <w:t xml:space="preserve"> gli ammessi non possono esercitare attività professionale innanzi al medesimo ufficio giudiziario né possono rappresentare o difendere - anche nelle fasi o nei gradi successivi del procedimento - le parti dei procedimenti che si sono svolti dinanzi al magistrato formatore (cui sono affidati durante lo stage) o assumere, dallo stesso, qualsiasi incarico professionale.</w:t>
      </w:r>
    </w:p>
    <w:p w14:paraId="602D3422" w14:textId="77777777" w:rsidR="00D022B1" w:rsidRPr="00D022B1" w:rsidRDefault="00D022B1" w:rsidP="00D022B1">
      <w:pPr>
        <w:pStyle w:val="NormaleWeb"/>
        <w:spacing w:before="0" w:beforeAutospacing="0" w:after="0" w:afterAutospacing="0"/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Lo svolgimento dello </w:t>
      </w:r>
      <w:r>
        <w:rPr>
          <w:i/>
          <w:sz w:val="26"/>
          <w:szCs w:val="28"/>
        </w:rPr>
        <w:t>stage</w:t>
      </w:r>
      <w:r>
        <w:rPr>
          <w:sz w:val="26"/>
          <w:szCs w:val="28"/>
        </w:rPr>
        <w:t xml:space="preserve"> non dà diritto ad alcun compenso e non determina il sorgere di alcun rapporto di lavoro subordinato o autonomo né di obblighi previdenziali e assicurativi. Agli ammessi allo </w:t>
      </w:r>
      <w:r>
        <w:rPr>
          <w:i/>
          <w:sz w:val="26"/>
          <w:szCs w:val="28"/>
        </w:rPr>
        <w:t>stage</w:t>
      </w:r>
      <w:r>
        <w:rPr>
          <w:sz w:val="26"/>
          <w:szCs w:val="28"/>
        </w:rPr>
        <w:t xml:space="preserve"> può essere attribuita, in presenza delle condizioni stabilite con cadenze periodiche con decreto del Ministero della Giustizia, </w:t>
      </w:r>
      <w:r w:rsidRPr="00D022B1">
        <w:rPr>
          <w:rStyle w:val="Enfasigrassetto"/>
          <w:b w:val="0"/>
          <w:color w:val="auto"/>
          <w:sz w:val="26"/>
          <w:szCs w:val="28"/>
        </w:rPr>
        <w:t>una borsa di studio determinata in misura non superiore ad euro 400 mensili</w:t>
      </w:r>
      <w:r w:rsidRPr="00D022B1">
        <w:rPr>
          <w:b/>
          <w:sz w:val="26"/>
          <w:szCs w:val="28"/>
        </w:rPr>
        <w:t xml:space="preserve">.  </w:t>
      </w:r>
    </w:p>
    <w:p w14:paraId="4135D6F1" w14:textId="77777777" w:rsidR="00D022B1" w:rsidRDefault="00D022B1" w:rsidP="00D022B1">
      <w:pPr>
        <w:pStyle w:val="NormaleWeb"/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>Il Ministro della Giustizia determina annualmente, con proprio decreto:</w:t>
      </w:r>
    </w:p>
    <w:p w14:paraId="4983A62E" w14:textId="77777777" w:rsidR="00D022B1" w:rsidRDefault="00D022B1" w:rsidP="00D022B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i requisiti per l'attribuzione della borsa di studio, sulla base dell'indicatore della situazione economica equivalente (ISEE) calcolato per le prestazioni erogate agli studenti nell'ambito del diritto allo studio universitario, nonché i termini e le modalità di presentazione della dichiarazione sostitutiva unica. </w:t>
      </w:r>
    </w:p>
    <w:p w14:paraId="5A8B0940" w14:textId="77777777" w:rsidR="00D022B1" w:rsidRDefault="00D022B1" w:rsidP="00D022B1">
      <w:pPr>
        <w:pStyle w:val="Paragrafoelenco"/>
        <w:numPr>
          <w:ilvl w:val="0"/>
          <w:numId w:val="1"/>
        </w:numPr>
        <w:jc w:val="both"/>
        <w:rPr>
          <w:sz w:val="26"/>
          <w:szCs w:val="28"/>
        </w:rPr>
      </w:pPr>
      <w:r>
        <w:rPr>
          <w:sz w:val="26"/>
          <w:szCs w:val="28"/>
        </w:rPr>
        <w:t>l’effettivo ammontare delle risorse destinate al finanziamento delle predette borse di studio, sulla base delle risorse disponibili</w:t>
      </w:r>
    </w:p>
    <w:p w14:paraId="22EED496" w14:textId="77777777" w:rsidR="00D022B1" w:rsidRDefault="00D022B1" w:rsidP="00D022B1">
      <w:pPr>
        <w:jc w:val="both"/>
        <w:rPr>
          <w:sz w:val="26"/>
          <w:szCs w:val="28"/>
        </w:rPr>
      </w:pPr>
    </w:p>
    <w:p w14:paraId="3F5E4D64" w14:textId="77777777" w:rsidR="00D022B1" w:rsidRDefault="00D022B1" w:rsidP="00D022B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Lo </w:t>
      </w:r>
      <w:r>
        <w:rPr>
          <w:i/>
          <w:sz w:val="26"/>
          <w:szCs w:val="28"/>
        </w:rPr>
        <w:t>stage</w:t>
      </w:r>
      <w:r>
        <w:rPr>
          <w:sz w:val="26"/>
          <w:szCs w:val="28"/>
        </w:rPr>
        <w:t xml:space="preserve"> può essere svolto contestualmente ad altre attività - compreso il dottorato di ricerca, il tirocinio per l’accesso alla professione di avvocato o di notaio e la frequenza dei corsi delle scuole di specializzazione per le professioni legali - purché con modalità compatibili con il conseguimento di un’adeguata formazione. </w:t>
      </w:r>
    </w:p>
    <w:p w14:paraId="1FCBD96F" w14:textId="77777777" w:rsidR="00D022B1" w:rsidRDefault="00D022B1" w:rsidP="00D022B1">
      <w:pPr>
        <w:jc w:val="both"/>
        <w:rPr>
          <w:sz w:val="26"/>
          <w:szCs w:val="28"/>
        </w:rPr>
      </w:pPr>
      <w:r>
        <w:rPr>
          <w:sz w:val="26"/>
          <w:szCs w:val="28"/>
        </w:rPr>
        <w:t>Il contestuale svolgimento del tirocinio per l’accesso alla professione forense non impedisce all’avvocato presso il quale il tirocinio si svolge di esercitare attività professionale innanzi al magistrato formatore</w:t>
      </w:r>
    </w:p>
    <w:p w14:paraId="6A614493" w14:textId="77777777" w:rsidR="00D022B1" w:rsidRDefault="00D022B1" w:rsidP="00D022B1">
      <w:pPr>
        <w:jc w:val="both"/>
        <w:rPr>
          <w:sz w:val="26"/>
          <w:szCs w:val="28"/>
        </w:rPr>
      </w:pPr>
    </w:p>
    <w:p w14:paraId="30909FA8" w14:textId="77777777" w:rsidR="00D022B1" w:rsidRDefault="00D022B1" w:rsidP="00D022B1">
      <w:pPr>
        <w:jc w:val="both"/>
        <w:rPr>
          <w:sz w:val="26"/>
          <w:szCs w:val="28"/>
        </w:rPr>
      </w:pPr>
      <w:r>
        <w:rPr>
          <w:sz w:val="26"/>
          <w:szCs w:val="28"/>
        </w:rPr>
        <w:t>Durante il tirocinio gli ammessi devono:</w:t>
      </w:r>
    </w:p>
    <w:p w14:paraId="3749CB38" w14:textId="77777777" w:rsidR="00D022B1" w:rsidRDefault="00D022B1" w:rsidP="00D022B1">
      <w:pPr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Seguire le indicazioni del magistrato coordinatore e del magistrato affidatario, facendo a loro riferimento per qualsiasi esigenza di tipo organizzativo od altre evenienze.</w:t>
      </w:r>
    </w:p>
    <w:p w14:paraId="2505FF5C" w14:textId="77777777" w:rsidR="00D022B1" w:rsidRDefault="00D022B1" w:rsidP="00D022B1">
      <w:pPr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Rispettare gli obblighi di riservatezza in relazione a notizie e dati di cui venga a conoscenza durante lo svolgimento del tirocinio.</w:t>
      </w:r>
    </w:p>
    <w:p w14:paraId="722221FE" w14:textId="77777777" w:rsidR="00D022B1" w:rsidRDefault="00D022B1" w:rsidP="00D022B1">
      <w:pPr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Rispettare le norme in materia di igiene e sicurezza.</w:t>
      </w:r>
    </w:p>
    <w:p w14:paraId="227F089C" w14:textId="77777777" w:rsidR="00D022B1" w:rsidRDefault="00D022B1" w:rsidP="00D022B1">
      <w:pPr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Rispettare gli orari concordati con il magistrato affidatario.</w:t>
      </w:r>
    </w:p>
    <w:p w14:paraId="7E79FB8B" w14:textId="77777777" w:rsidR="00D022B1" w:rsidRDefault="00D022B1" w:rsidP="00D022B1">
      <w:pPr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Seguire i corsi di formazione decentrata che vengono proposti durante il tirocinio.</w:t>
      </w:r>
    </w:p>
    <w:p w14:paraId="28B41083" w14:textId="77777777" w:rsidR="00D022B1" w:rsidRDefault="00D022B1" w:rsidP="00D022B1">
      <w:pPr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Indicare al magistrato affidatario ogni altra situazione di incompatibilità.</w:t>
      </w:r>
    </w:p>
    <w:p w14:paraId="1EEA45BD" w14:textId="77777777" w:rsidR="00D022B1" w:rsidRDefault="00D022B1" w:rsidP="00D022B1">
      <w:pPr>
        <w:jc w:val="both"/>
        <w:rPr>
          <w:sz w:val="26"/>
          <w:szCs w:val="28"/>
        </w:rPr>
      </w:pPr>
    </w:p>
    <w:p w14:paraId="1C821677" w14:textId="77777777" w:rsidR="00D022B1" w:rsidRDefault="00D022B1" w:rsidP="00D022B1">
      <w:pPr>
        <w:jc w:val="both"/>
        <w:rPr>
          <w:sz w:val="26"/>
          <w:szCs w:val="28"/>
        </w:rPr>
      </w:pPr>
      <w:r>
        <w:rPr>
          <w:sz w:val="26"/>
          <w:szCs w:val="28"/>
        </w:rPr>
        <w:t>SI INFORMA INOLTRE CHE:</w:t>
      </w:r>
    </w:p>
    <w:p w14:paraId="45A48C8D" w14:textId="77777777" w:rsidR="00D022B1" w:rsidRDefault="00D022B1" w:rsidP="00D022B1">
      <w:pPr>
        <w:ind w:left="360" w:hanging="76"/>
        <w:jc w:val="both"/>
        <w:rPr>
          <w:sz w:val="26"/>
          <w:szCs w:val="28"/>
        </w:rPr>
      </w:pPr>
      <w:r>
        <w:rPr>
          <w:sz w:val="26"/>
          <w:szCs w:val="28"/>
        </w:rPr>
        <w:t>Il tirocinio potrà essere interrotto:</w:t>
      </w:r>
    </w:p>
    <w:p w14:paraId="54B0D556" w14:textId="77777777" w:rsidR="00D022B1" w:rsidRDefault="00D022B1" w:rsidP="00D022B1">
      <w:pPr>
        <w:pStyle w:val="Paragrafoelenco"/>
        <w:numPr>
          <w:ilvl w:val="0"/>
          <w:numId w:val="3"/>
        </w:numPr>
        <w:ind w:left="709" w:hanging="425"/>
        <w:jc w:val="both"/>
        <w:rPr>
          <w:sz w:val="26"/>
          <w:szCs w:val="28"/>
        </w:rPr>
      </w:pPr>
      <w:r>
        <w:rPr>
          <w:sz w:val="26"/>
          <w:szCs w:val="28"/>
        </w:rPr>
        <w:t>nel caso il tirocinante non si attenga ai comportamenti di cui sopra e per il venir meno del rapporto fiduciario;</w:t>
      </w:r>
    </w:p>
    <w:p w14:paraId="1EF53576" w14:textId="77777777" w:rsidR="00D022B1" w:rsidRDefault="00D022B1" w:rsidP="00D022B1">
      <w:pPr>
        <w:pStyle w:val="Paragrafoelenco"/>
        <w:numPr>
          <w:ilvl w:val="1"/>
          <w:numId w:val="4"/>
        </w:numPr>
        <w:ind w:left="284" w:firstLine="0"/>
        <w:jc w:val="both"/>
        <w:rPr>
          <w:sz w:val="26"/>
          <w:szCs w:val="28"/>
        </w:rPr>
      </w:pPr>
      <w:r>
        <w:rPr>
          <w:sz w:val="26"/>
          <w:szCs w:val="28"/>
        </w:rPr>
        <w:t>per sopravvenute esigenze organizzative;</w:t>
      </w:r>
    </w:p>
    <w:p w14:paraId="4010B4F4" w14:textId="77777777" w:rsidR="00D022B1" w:rsidRDefault="00D022B1" w:rsidP="00D022B1">
      <w:pPr>
        <w:ind w:left="360"/>
        <w:jc w:val="both"/>
        <w:rPr>
          <w:sz w:val="26"/>
          <w:szCs w:val="28"/>
        </w:rPr>
      </w:pPr>
    </w:p>
    <w:p w14:paraId="5BFABA3F" w14:textId="77777777" w:rsidR="00D022B1" w:rsidRDefault="00D022B1" w:rsidP="00D022B1">
      <w:pPr>
        <w:jc w:val="both"/>
        <w:rPr>
          <w:sz w:val="26"/>
          <w:szCs w:val="28"/>
        </w:rPr>
      </w:pPr>
    </w:p>
    <w:p w14:paraId="3CC7F946" w14:textId="77777777" w:rsidR="00D022B1" w:rsidRDefault="00D022B1" w:rsidP="00D022B1">
      <w:pPr>
        <w:jc w:val="both"/>
        <w:rPr>
          <w:sz w:val="26"/>
          <w:szCs w:val="28"/>
        </w:rPr>
      </w:pPr>
    </w:p>
    <w:p w14:paraId="5EB2CBF8" w14:textId="77777777" w:rsidR="00D022B1" w:rsidRDefault="00D022B1" w:rsidP="00D022B1">
      <w:pPr>
        <w:jc w:val="both"/>
        <w:rPr>
          <w:sz w:val="26"/>
          <w:szCs w:val="28"/>
        </w:rPr>
      </w:pPr>
    </w:p>
    <w:p w14:paraId="0C47C542" w14:textId="77777777" w:rsidR="00FC7646" w:rsidRDefault="00FC7646"/>
    <w:sectPr w:rsidR="00FC7646" w:rsidSect="009A66A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A0C"/>
    <w:multiLevelType w:val="hybridMultilevel"/>
    <w:tmpl w:val="7548E66E"/>
    <w:lvl w:ilvl="0" w:tplc="E138B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138BDD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C37EC4"/>
    <w:multiLevelType w:val="hybridMultilevel"/>
    <w:tmpl w:val="0EAC3FEC"/>
    <w:lvl w:ilvl="0" w:tplc="E138BD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0FA1C17"/>
    <w:multiLevelType w:val="hybridMultilevel"/>
    <w:tmpl w:val="33CC6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93C87"/>
    <w:multiLevelType w:val="hybridMultilevel"/>
    <w:tmpl w:val="A97EE2AE"/>
    <w:lvl w:ilvl="0" w:tplc="E138BD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B0"/>
    <w:rsid w:val="0025187A"/>
    <w:rsid w:val="003A6CD3"/>
    <w:rsid w:val="004318B0"/>
    <w:rsid w:val="00447599"/>
    <w:rsid w:val="004C33E4"/>
    <w:rsid w:val="009A66A2"/>
    <w:rsid w:val="00D022B1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788D"/>
  <w15:docId w15:val="{AC2CC09A-353B-41DB-80F2-B6FB7819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22B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187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87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187A"/>
    <w:pPr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187A"/>
    <w:pPr>
      <w:spacing w:before="240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187A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187A"/>
    <w:pPr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187A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87A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187A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87A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87A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187A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187A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187A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187A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187A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87A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187A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5187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187A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5187A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187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187A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25187A"/>
    <w:rPr>
      <w:b/>
      <w:color w:val="C0504D" w:themeColor="accent2"/>
    </w:rPr>
  </w:style>
  <w:style w:type="character" w:styleId="Enfasicorsivo">
    <w:name w:val="Emphasis"/>
    <w:uiPriority w:val="20"/>
    <w:qFormat/>
    <w:rsid w:val="0025187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25187A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187A"/>
  </w:style>
  <w:style w:type="paragraph" w:styleId="Paragrafoelenco">
    <w:name w:val="List Paragraph"/>
    <w:basedOn w:val="Normale"/>
    <w:uiPriority w:val="99"/>
    <w:qFormat/>
    <w:rsid w:val="0025187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5187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187A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18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187A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25187A"/>
    <w:rPr>
      <w:i/>
    </w:rPr>
  </w:style>
  <w:style w:type="character" w:styleId="Enfasiintensa">
    <w:name w:val="Intense Emphasis"/>
    <w:uiPriority w:val="21"/>
    <w:qFormat/>
    <w:rsid w:val="0025187A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25187A"/>
    <w:rPr>
      <w:b/>
    </w:rPr>
  </w:style>
  <w:style w:type="character" w:styleId="Riferimentointenso">
    <w:name w:val="Intense Reference"/>
    <w:uiPriority w:val="32"/>
    <w:qFormat/>
    <w:rsid w:val="0025187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518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5187A"/>
    <w:pPr>
      <w:outlineLvl w:val="9"/>
    </w:pPr>
    <w:rPr>
      <w:lang w:bidi="en-US"/>
    </w:rPr>
  </w:style>
  <w:style w:type="paragraph" w:styleId="NormaleWeb">
    <w:name w:val="Normal (Web)"/>
    <w:basedOn w:val="Normale"/>
    <w:uiPriority w:val="99"/>
    <w:semiHidden/>
    <w:unhideWhenUsed/>
    <w:rsid w:val="00D022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B1E21712FC44DA71994BE9ABD8950" ma:contentTypeVersion="8" ma:contentTypeDescription="Creare un nuovo documento." ma:contentTypeScope="" ma:versionID="08e6e899a1d54cc3a571d4a736ed34ba">
  <xsd:schema xmlns:xsd="http://www.w3.org/2001/XMLSchema" xmlns:xs="http://www.w3.org/2001/XMLSchema" xmlns:p="http://schemas.microsoft.com/office/2006/metadata/properties" xmlns:ns3="87146457-9a9e-466c-8815-1d7e72bfae76" targetNamespace="http://schemas.microsoft.com/office/2006/metadata/properties" ma:root="true" ma:fieldsID="abacf07ca60c9027af49a75cae8551d8" ns3:_="">
    <xsd:import namespace="87146457-9a9e-466c-8815-1d7e72bfa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6457-9a9e-466c-8815-1d7e72bf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EA012-ADF2-495D-94F5-209E2CEED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6457-9a9e-466c-8815-1d7e72bf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77406-ACA2-4A96-9CCE-EC624D869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86287-C388-4C79-B559-94EC89E9643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87146457-9a9e-466c-8815-1d7e72bfae76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Crescenzi</dc:creator>
  <cp:lastModifiedBy>PANNO MARIA TERESA</cp:lastModifiedBy>
  <cp:revision>2</cp:revision>
  <cp:lastPrinted>2023-03-01T16:58:00Z</cp:lastPrinted>
  <dcterms:created xsi:type="dcterms:W3CDTF">2023-03-06T09:39:00Z</dcterms:created>
  <dcterms:modified xsi:type="dcterms:W3CDTF">2023-03-06T09:39:00Z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0x010100478B1E21712FC44DA71994BE9ABD8950</vt:lpwstr>
  </property>
</Properties>
</file>